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32328E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32328E">
        <w:rPr>
          <w:rFonts w:ascii="Segoe UI" w:hAnsi="Segoe UI" w:cs="Segoe UI"/>
          <w:b/>
          <w:noProof/>
          <w:sz w:val="28"/>
        </w:rPr>
        <w:t>В новосибирском Росреестре ответили на вопросы по кадастровой оценке объектов капитального строительства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 минувшей неделе в Управлении </w:t>
      </w:r>
      <w:proofErr w:type="spellStart"/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состоялась «горячая» телефонная линия по вопросам </w:t>
      </w:r>
      <w:r w:rsidRPr="0032328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государственной кадастровой оценки объектов капитального строительства</w:t>
      </w: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На вопросы новосибирцев ответила начальник отдела землеустройства, мониторинга земель, кадастровой оценки недвижимости, геодезии и картографии Управления Анна </w:t>
      </w:r>
      <w:proofErr w:type="spellStart"/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Еремкина</w:t>
      </w:r>
      <w:proofErr w:type="spellEnd"/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Для чего нужна кадастровая стоимость?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Кадастровая стоимость используется в качестве налоговой базы для исчисления налога на имущество физических лиц, налога на имущество организаций, расчета величины госпошлины при оформлении наследства, расчета размера арендной планы за использование земельных участков, находящихся в государственной или муниципальной собственности.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Почему изменилась кадастровая стоимость объектов капитального строительства?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2023 году в Новосибирской области в рамках единого цикла проведена государственная кадастровая оценка объектов капитального строительства. Это здания, помещения, сооружения, объекты незавершенного строительства, </w:t>
      </w:r>
      <w:proofErr w:type="spellStart"/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машино-места</w:t>
      </w:r>
      <w:proofErr w:type="spellEnd"/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, сведения о которых содержались в Едином государственном реестре недвижимости на 01.01.2023.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Переоценено 1 944 105 объектов капитального строительства. 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Новая кадастровая стоимость будет применяться с 1 января 2024 года.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Как узнать результат кадастровой оценки объектов капитального строительства?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Результаты оценки утверждены приказом Департамента имущества и земельных отношений Новосибирской области от 03.11.2023 № 3533-НПА. Указанный приказ и приложения к нему </w:t>
      </w: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 xml:space="preserve">опубликованы в сетевом издании «Официальный интернет-портал правовой информации Новосибирской области» </w:t>
      </w:r>
      <w:hyperlink r:id="rId7" w:history="1">
        <w:r w:rsidRPr="0032328E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www.nsopravo.ru</w:t>
        </w:r>
      </w:hyperlink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от 03.11.2023, а также размещены на сайте Департамента имущества и земельных отношений Новосибирской области в разделе «Деятельность/Государственная кадастровая оценка» (</w:t>
      </w:r>
      <w:hyperlink r:id="rId8" w:history="1">
        <w:r w:rsidRPr="0032328E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http://dizo.nso.ru/page/53</w:t>
        </w:r>
      </w:hyperlink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).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Узнать кадастровую стоимость объектов недвижимости можно на сайте </w:t>
      </w:r>
      <w:proofErr w:type="spellStart"/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 помощью простых и удобных сервисов: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«</w:t>
      </w:r>
      <w:hyperlink r:id="rId9" w:anchor="/search/65.64951699999888,122.73014399999792/4/@5w3tqxnc7" w:history="1">
        <w:r w:rsidRPr="0032328E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Публичная кадастровая карта</w:t>
        </w:r>
      </w:hyperlink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». 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Этот сервис позволяет узнать кадастровую стоимость земельных участков и объектов капитального строительства (зданий, сооружений). Для этого достаточно выбрать любой объект на карте и ознакомиться с данными о нем, в том числе и с его кадастровой стоимостью.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«</w:t>
      </w:r>
      <w:hyperlink r:id="rId10" w:history="1">
        <w:r w:rsidRPr="0032328E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 xml:space="preserve">Справочная информация по объектам недвижимости в режиме </w:t>
        </w:r>
        <w:proofErr w:type="spellStart"/>
        <w:r w:rsidRPr="0032328E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online</w:t>
        </w:r>
        <w:proofErr w:type="spellEnd"/>
      </w:hyperlink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». 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 помощью этого сервиса можно узнать кадастровую стоимость не только земельных участков или объектов капитального строительства, но и помещений. Поиск проводится как по номеру объекта недвижимости, так и по его адресу.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«</w:t>
      </w:r>
      <w:hyperlink r:id="rId11" w:history="1">
        <w:r w:rsidRPr="0032328E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Получение сведений из Фонда данных государственной кадастровой оценки</w:t>
        </w:r>
      </w:hyperlink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». 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Поиск проводится по кадастровому номеру объекта недвижимости.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Как была определена кадастровая стоимость?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Кадастровая оценка в регионе проводится Новосибирским центром кадастровой оценки и инвентаризации</w:t>
      </w: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»</w:t>
      </w: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(ГБУ НСО «ЦКО и БТИ»).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В</w:t>
      </w: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случае наличия вопросов по оценке </w:t>
      </w: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объектов капитального строительства</w:t>
      </w: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у физических и юридических лиц, органов государственной власти и органов местного самоуправления</w:t>
      </w: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,</w:t>
      </w: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spellStart"/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</w:t>
      </w: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азъяснения</w:t>
      </w:r>
      <w:proofErr w:type="spellEnd"/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, связанные с определением кадастровой стоимости</w:t>
      </w: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,</w:t>
      </w: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предоставляет ГБУ НСО «ЦКО и БТИ».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Можно ли теперь повлиять на результат кадастровой оценки?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 xml:space="preserve">Если правообладатели </w:t>
      </w: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объектов недвижимости</w:t>
      </w: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считают, что в величине кадастровой стоимости содержатся ошибки, они могут обратиться </w:t>
      </w: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</w:t>
      </w: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ГБУ НСО «ЦКО и БТИ»</w:t>
      </w: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 заявлением об исправлении ошибок.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Если кадастровая стоимость не устраивает, законодательством предусмотрена возможность установления кадастровой стоимости объекта недвижимости в размере его рыночной стоимости.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Для </w:t>
      </w:r>
      <w:r w:rsidRPr="0032328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установления кадастровой стоимости объекта недвижимости в размере его рыночной стоимости необходимо подать в ГБУ НСО «ЦКО и БТИ» соответствующее заявление</w:t>
      </w: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Контактная информация ГБУ НСО «ЦКО и БТИ».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Контактная информация и иная информация о проведении кадастровой оценки размещены на официальном сайте ГБУ НСО «ЦКО и БТИ» - </w:t>
      </w:r>
      <w:proofErr w:type="spellStart"/>
      <w:r w:rsidR="00B6041B">
        <w:fldChar w:fldCharType="begin"/>
      </w:r>
      <w:r w:rsidR="00B6041B">
        <w:instrText>HYPERLINK "http://noti.ru/contacts/"</w:instrText>
      </w:r>
      <w:r w:rsidR="00B6041B">
        <w:fldChar w:fldCharType="separate"/>
      </w:r>
      <w:r w:rsidRPr="0032328E">
        <w:rPr>
          <w:rStyle w:val="a3"/>
          <w:rFonts w:ascii="Segoe UI" w:eastAsia="Times New Roman" w:hAnsi="Segoe UI" w:cs="Segoe UI"/>
          <w:bCs/>
          <w:sz w:val="28"/>
          <w:szCs w:val="28"/>
          <w:lang w:eastAsia="ru-RU"/>
        </w:rPr>
        <w:t>noti.ru</w:t>
      </w:r>
      <w:proofErr w:type="spellEnd"/>
      <w:r w:rsidR="00B6041B">
        <w:fldChar w:fldCharType="end"/>
      </w:r>
      <w:r w:rsidRPr="0032328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.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Обратиться в бюджетное учреждение можно: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 телефонам: 8 (383) 217-22-04, 8 (383) 221-81-18, 8 (383) 221-35-12;</w:t>
      </w:r>
    </w:p>
    <w:p w:rsidR="0032328E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почтовым отправлением: ГБУ НСО «ЦКО и БТИ», 630004, Новосибирская область, г. Новосибирск, ул. Сибирская, 15;</w:t>
      </w:r>
    </w:p>
    <w:p w:rsidR="00FB3C30" w:rsidRPr="0032328E" w:rsidRDefault="0032328E" w:rsidP="0032328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 электронной почте: </w:t>
      </w:r>
      <w:hyperlink r:id="rId12" w:history="1">
        <w:r w:rsidRPr="0032328E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kanc@noti.ru</w:t>
        </w:r>
      </w:hyperlink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ocenka@noti.ru</w:t>
      </w:r>
      <w:proofErr w:type="spellEnd"/>
      <w:r w:rsidRPr="0032328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3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20D" w:rsidRDefault="001E420D" w:rsidP="00747FDB">
      <w:pPr>
        <w:spacing w:after="0" w:line="240" w:lineRule="auto"/>
      </w:pPr>
      <w:r>
        <w:separator/>
      </w:r>
    </w:p>
  </w:endnote>
  <w:endnote w:type="continuationSeparator" w:id="0">
    <w:p w:rsidR="001E420D" w:rsidRDefault="001E420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20D" w:rsidRDefault="001E420D" w:rsidP="00747FDB">
      <w:pPr>
        <w:spacing w:after="0" w:line="240" w:lineRule="auto"/>
      </w:pPr>
      <w:r>
        <w:separator/>
      </w:r>
    </w:p>
  </w:footnote>
  <w:footnote w:type="continuationSeparator" w:id="0">
    <w:p w:rsidR="001E420D" w:rsidRDefault="001E420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B6041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1E420D"/>
    <w:rsid w:val="00203E51"/>
    <w:rsid w:val="00256153"/>
    <w:rsid w:val="00291652"/>
    <w:rsid w:val="002C29BC"/>
    <w:rsid w:val="002E57A7"/>
    <w:rsid w:val="00300DC6"/>
    <w:rsid w:val="003216E6"/>
    <w:rsid w:val="0032328E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6041B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A5C7F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41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zo.nso.ru/page/53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sopravo.ru" TargetMode="External"/><Relationship Id="rId12" Type="http://schemas.openxmlformats.org/officeDocument/2006/relationships/hyperlink" Target="mailto:kanc@not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wps/portal/cc_ib_svedFDGK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osreestr.gov.ru/wps/portal/online_reque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kk.rosreestr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9</cp:revision>
  <cp:lastPrinted>2022-01-19T07:30:00Z</cp:lastPrinted>
  <dcterms:created xsi:type="dcterms:W3CDTF">2023-04-24T06:32:00Z</dcterms:created>
  <dcterms:modified xsi:type="dcterms:W3CDTF">2023-12-19T08:32:00Z</dcterms:modified>
</cp:coreProperties>
</file>